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рограм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>
      <w:pPr>
        <w:pStyle w:val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Регионалног центра за професионални развој</w:t>
      </w:r>
    </w:p>
    <w:p>
      <w:pPr>
        <w:pStyle w:val="18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запослених у образовању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Смедерево  за 2024. годину</w:t>
      </w:r>
    </w:p>
    <w:p>
      <w:pPr>
        <w:pStyle w:val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1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Уводни део – о формирању, ресурсима и кадровској структури установе</w:t>
      </w:r>
    </w:p>
    <w:p>
      <w:pPr>
        <w:pStyle w:val="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Центар за професионални развој запослених у образовању Смедерево са дефинисаним стандардима и правилима пословања, примењује и спроводи стратегију стручног усавршавања у региону. Центар у сарадњи са другим битним чиниоцима система образовања Републике Србије организује семинаре и стручне скупове, као и друге видове едукација и стручног усавршавања.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Регионални центри и Центри за стручно усавршавање обједињени су Мрежом регоналних центара и центара за стручно усавршавање којих у Србији има 13 и то: Ниш, Лесковац, Крушевац, Крагујевац, Ужице, Чачак, Нови Пазар, Шабац, Кикинда, Кањижа, Сомбор, Књажевац и Смедерево. По својој основној концепције постоји фундаментална сличност између центара, али је истовремено присутна и различитост која произилази из специфичности одређеног региона и захтева Оснивача ових установа.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1.1.Формирање установе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међудржавног уговора којим се прописује унапређење и сарадња у области образовања и васпитања, потписаног између Владе Републике Србије и Владе Швајцарске Конфедерације, Град Смедерево је 2009. године донео Одлуку о оснивању  </w:t>
      </w:r>
      <w:r>
        <w:rPr>
          <w:rFonts w:ascii="Times New Roman" w:hAnsi="Times New Roman" w:cs="Times New Roman"/>
          <w:sz w:val="24"/>
          <w:szCs w:val="24"/>
        </w:rPr>
        <w:t>Регионалног центра за професионални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запослених у образовању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Смедерево. Уз финансијску подршку швајцарске </w:t>
      </w:r>
      <w:r>
        <w:rPr>
          <w:rFonts w:ascii="Times New Roman" w:hAnsi="Times New Roman" w:cs="Times New Roman"/>
          <w:sz w:val="24"/>
          <w:szCs w:val="24"/>
        </w:rPr>
        <w:t xml:space="preserve">Aгeнциje зa рaзвoj и сaрaдњу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Swiss Agency for Development and Cooperation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SDC)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учешће Града Смедерева са једном трећином финансијских средстава, установа је основана и почела је са радом 2010. године.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>
      <w:pPr>
        <w:pStyle w:val="18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Ресурси установе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Нaкoн двe фaзe aдaптaциje прoстoрa на другом и трећем спрату дела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некадашњег</w:t>
      </w:r>
      <w:r>
        <w:rPr>
          <w:rFonts w:ascii="Times New Roman" w:hAnsi="Times New Roman" w:cs="Times New Roman"/>
          <w:sz w:val="24"/>
          <w:szCs w:val="24"/>
        </w:rPr>
        <w:t xml:space="preserve"> „Moнoпoл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 Горанска б. б. у Смедереву, </w:t>
      </w:r>
      <w:r>
        <w:rPr>
          <w:rFonts w:ascii="Times New Roman" w:hAnsi="Times New Roman" w:cs="Times New Roman"/>
          <w:sz w:val="24"/>
          <w:szCs w:val="24"/>
        </w:rPr>
        <w:t xml:space="preserve">дoбиjeнa je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веома</w:t>
      </w:r>
      <w:r>
        <w:rPr>
          <w:rFonts w:ascii="Times New Roman" w:hAnsi="Times New Roman" w:cs="Times New Roman"/>
          <w:sz w:val="24"/>
          <w:szCs w:val="24"/>
        </w:rPr>
        <w:t xml:space="preserve"> функциoнaлнa цeлинa површине преко 1200 квадратних метара у којој су изузетни услови за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организацију </w:t>
      </w:r>
      <w:r>
        <w:rPr>
          <w:rFonts w:ascii="Times New Roman" w:hAnsi="Times New Roman" w:eastAsia="Times New Roman" w:cs="Times New Roman"/>
          <w:sz w:val="24"/>
          <w:szCs w:val="24"/>
        </w:rPr>
        <w:t>различитих облика стручног усавршавања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и целодневни боравак гостију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а бригом и наставком улагања и квалитетног одржавања у претходном периоду, простор је и даље репрезентативан у сваком погледу.</w:t>
      </w:r>
    </w:p>
    <w:p>
      <w:pPr>
        <w:pStyle w:val="18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На другом спрату, где се налази први ниво Регионалног центра за професионални развој запослених у образовању, налази се </w:t>
      </w:r>
      <w:r>
        <w:rPr>
          <w:rFonts w:ascii="Times New Roman" w:hAnsi="Times New Roman" w:eastAsia="Times New Roman" w:cs="Times New Roman"/>
          <w:sz w:val="24"/>
          <w:szCs w:val="24"/>
        </w:rPr>
        <w:t>савршено технички опремљен простор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који се простире на 600 квадратних метара – поред канцеларијског простора, ту се налазе сале и учионице које су на располагању корисницима услуга за организацију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семинара, трибина, дискусија, конгреса, презентација, округлих столова и другог: 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конгресна сала са 150 места (климатизована, са уграђеним озвучењем, интернет-конекцијом, 2 пројектора и интерактивном таблом);</w:t>
      </w:r>
    </w:p>
    <w:p>
      <w:pPr>
        <w:pStyle w:val="18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 учионице са 20 – 35 места (климатизоване, са бежичном интернет-конекцијом, пројекторима, фиксираним или мобилним, интерактивним таблама и лаптоповима);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рачунарска учионица са 20 умрежених рачунара (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наведени рачунари су током 2020. године    надограђени  и ојачани у складу са захтевима корисника)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трећем спрату, где је други ниво Регионалног центра за професионални развој запослених у образовању, налази се трпезаријски простор капацитета до 50 места и </w:t>
      </w:r>
      <w:r>
        <w:rPr>
          <w:rFonts w:ascii="Times New Roman" w:hAnsi="Times New Roman" w:cs="Times New Roman"/>
          <w:sz w:val="24"/>
          <w:szCs w:val="24"/>
        </w:rPr>
        <w:t>смештајни капацитети којима су створени одлични услови за смештај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, исхрану</w:t>
      </w:r>
      <w:r>
        <w:rPr>
          <w:rFonts w:ascii="Times New Roman" w:hAnsi="Times New Roman" w:cs="Times New Roman"/>
          <w:sz w:val="24"/>
          <w:szCs w:val="24"/>
        </w:rPr>
        <w:t xml:space="preserve"> и целодневни боравак гостију у Смедереву.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климатизованом простору, опремљеном </w:t>
      </w:r>
      <w:r>
        <w:rPr>
          <w:rFonts w:ascii="Times New Roman" w:hAnsi="Times New Roman" w:cs="Times New Roman"/>
          <w:sz w:val="24"/>
          <w:szCs w:val="24"/>
        </w:rPr>
        <w:t>кабловском телевизијом, видео-надзором и интернет-конекцијом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Регионални центар има 40 расположивих кревета у трокреветним, четворокреветним и петокреветним собама и апартманима.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2021. и 2022. године радни простор (канцеларије и ходници) и великим делом смештајни простор са улазним холом је окречен, а извршена је и реконструкција степеништа за улаз у крило зграде где је смештен Регионални центар за професионални развој запослених у образовању, те је простор веома пријатан за рад, а веома се води рачуна и о осталој опреми и средствима за све намене које се реализују у оквиру функционисања Центра (рачунарска опрема, друга опрема и намештај у смештајном делу). Током 2023. године завршено је и  кречење и преосталих простора у Центру, пре свега  конгресне сале и три учионице у којима се обављају обуке, семинари и други скупови.</w:t>
      </w:r>
    </w:p>
    <w:p>
      <w:pPr>
        <w:pStyle w:val="18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Повољна локација и близина Београда доприносе томе да програме образовног карактера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у Регионалном центру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не организују и не посећују само заинтересовани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корисници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 Смедерева и Подунавског округа него и многи гости из других градова Србије,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али и из иностранства.</w:t>
      </w:r>
    </w:p>
    <w:p>
      <w:pPr>
        <w:pStyle w:val="18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</w:p>
    <w:p>
      <w:pPr>
        <w:pStyle w:val="18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Кадровска структура у установи</w:t>
      </w:r>
    </w:p>
    <w:p>
      <w:pPr>
        <w:pStyle w:val="18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Регионални центар за професионални развој запослених у образовању Смедерево има 12 запослених радника, од којих је 10 запослених на неодређено, на одређено  1 постављено лице (в. д. директор установе), као и 1 радница на одређено време од 3. априла 2023. године због повећаног обима коришћења смештајних капацитета у центру. Изменом систематизације током 2023. године, а по добијеној  сагласности  Владе за попуну радног места  и  Комисије за давање сагласности за ново запошљавање и додатно радно ангажовање код корисника јавних средстава од 28. новембра 2023. од 12. децембра извршен је пријем  извршиоца са ВСС на радно место координатор организације пројеката.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Једна радница Граског стамбеног предузећа обавља чишћење у установи.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Стручна спрема (образовање) запослених :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- 6 запослена са високом стручном спремом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то су: в.д. 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директор, руководилац финансијско- рачуноводствених послова, дипломирани економиста за финансијско-рачуноводствене послове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 истраживача/аналитичара и координатор организације пројеката);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3 запослена са вишом стручном спремом</w:t>
      </w:r>
      <w:r>
        <w:rPr>
          <w:rFonts w:ascii="Times New Roman" w:hAnsi="Times New Roman" w:cs="Times New Roman"/>
          <w:sz w:val="24"/>
          <w:szCs w:val="24"/>
          <w:lang w:val="ru-RU"/>
        </w:rPr>
        <w:t>, то су: 2 самостална правна  сарадника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 1 сарадник у  протоколу- радница која се по пресуди суда вратила на посао почетком 2020. године);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-3 запослена са средњом стручном спремом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то су: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радник на одржавању објекта – д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мар, мајстор одржавања, магационер-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>кoнoм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радник на одређено која има радно место магационер/економ, а  прерасподелом остали запослени обављају и друге послове који нису систематизовани, а тичу се организације смештаја када се исто организује у Центру.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о максималном броју запослених на неодређено време за сваки организациони облик у систему локалне самоуправе Града Смедерева од 2018. годину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предвиђено је да Регионални центар за професионални развој запослених у образовању има 11 запослених на неодређено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Примарна делатност Регионалног центра за професионални развој запослених у образовању Смедерево обухвата, сем обављања послова стручног усавршавања просветних радника и других корисника услуга установе, и послове промоције науке у оквиру Научног клуба Смедерево. </w:t>
      </w:r>
    </w:p>
    <w:p>
      <w:pPr>
        <w:pStyle w:val="18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18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RS"/>
        </w:rPr>
        <w:t>Финансирање рада установе</w:t>
      </w:r>
    </w:p>
    <w:p>
      <w:pPr>
        <w:pStyle w:val="18"/>
        <w:ind w:left="720"/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Финанирање рада установе Регионалног центра за професионални развој запослених у образовању Смедерево-као индиректног корисника буџета се врши из средстава Буџета Града Смедерева.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Важно је знати да су  се од  2020. години сви приходи и индиректних буџетских корисника уплаћују  на наменске рачуне Буџета Града, док само евиденцију о остварењу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вих прихода (ванбилансно) воде буџетски корисници (овог пута установа Регионални центар Смедерево). По упутству за израду Буџета и  за 2024. годину и остали извори средстава се преносе на Буџет Града Смедерева, тако да је комплетно финансирање установе из средстава Буџета града Смедерева. Неутрошена  наменска средства из Републике  су  на рачуну Буџета Града и представљаће изворе за финансирање у наредној години као извори из Буџета, са напоменом да правдање само средстава ЦПН-а ће се посебно евидентирати и пратити.</w:t>
      </w:r>
    </w:p>
    <w:p>
      <w:pPr>
        <w:pStyle w:val="18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Приходе за буџет града од продаје услуга  установа  оствараје: изнајмљивањем простора за организацију различитих видова едукације; коришћењем смештајних капацитета, обезбеђењем услуга освежења у току одржавања скупова, док наплату врши и за котизације за организацију семинара које организује за просветне раднике и друге запослене у образовним установама, док један део прихода  остварује продајом својих акредитованих програма за стручно усавршавање запослених у образовању који се организују у другим образовним установама. Такође Центар наплаћује и приходе од боравишне таксе за коришћење преноћишта и смештаја у Центру и исти се уплаћују на наменски рачун Буџета Града Смедерева.</w:t>
      </w:r>
    </w:p>
    <w:p>
      <w:pPr>
        <w:pStyle w:val="18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Поред наведених прихода Регионални центар за професионални развој запослених у образовању Смедерево има и средства из осталих извора – наменска средства за пројекте из области промоције и популаризације науке, добијана уговором са Центром за промоцију науке у Београду, а по изворима наведена средства су средства Републичког буџета, док пратимо и друге изворе средстава и конкуришемо за програме који се односе на рад Центра, као и код других институција и донатора.</w:t>
      </w:r>
    </w:p>
    <w:p>
      <w:pPr>
        <w:pStyle w:val="18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</w:p>
    <w:p>
      <w:pPr>
        <w:pStyle w:val="1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Циљеви и задаци рада установе</w:t>
      </w:r>
    </w:p>
    <w:p>
      <w:pPr>
        <w:pStyle w:val="1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18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Регионални центaр за професионални развој запослених у образовању Смедерево установа је у којој се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организују различити облици обука (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семинари, трибине, дискусије, конгреси, презентације, округли столови и други видови едукације) не само за просветне раднике са територије Града Смедерева и околних градова, него и за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запослене у другим делатностима – 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оцијалне раднике, раднике локалних самоуправа, здравствене раднике и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друге. 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Регионалног центра постоји и Научни клуб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Смедерево</w:t>
      </w:r>
      <w:r>
        <w:rPr>
          <w:rFonts w:ascii="Times New Roman" w:hAnsi="Times New Roman" w:cs="Times New Roman"/>
          <w:sz w:val="24"/>
          <w:szCs w:val="24"/>
        </w:rPr>
        <w:t xml:space="preserve"> основан 2016. године 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основним </w:t>
      </w:r>
      <w:r>
        <w:rPr>
          <w:rFonts w:ascii="Times New Roman" w:hAnsi="Times New Roman" w:cs="Times New Roman"/>
          <w:sz w:val="24"/>
          <w:szCs w:val="24"/>
        </w:rPr>
        <w:t>циљем децентрализације науке, односно шире популаризације и промоције научно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истраживачких достигнућа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Смедереву, али и околним градовима.</w:t>
      </w:r>
      <w:r>
        <w:rPr>
          <w:rFonts w:ascii="Times New Roman" w:hAnsi="Times New Roman" w:cs="Times New Roman"/>
          <w:sz w:val="24"/>
          <w:szCs w:val="24"/>
        </w:rPr>
        <w:t xml:space="preserve"> Научни клуб Смедерево место је где ученици, наставници и и научни радници изводе експерименте,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организују </w:t>
      </w:r>
      <w:r>
        <w:rPr>
          <w:rFonts w:ascii="Times New Roman" w:hAnsi="Times New Roman" w:cs="Times New Roman"/>
          <w:sz w:val="24"/>
          <w:szCs w:val="24"/>
        </w:rPr>
        <w:t>радионице и трибине како би кроз стицање нових знања популарисали науку и истраживање.</w:t>
      </w:r>
    </w:p>
    <w:p>
      <w:pPr>
        <w:pStyle w:val="18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У  2021. године потписан је Анекс 1 меморандума о  сарадњи Града Смедерева, Центра за промоцију науке Београд и Регионалног центра за професионлни развој запослених у образовању Смедерево чиме је продужена сарадња на период од 5 година, почев од 17. маја 2021. год. којим су дефинисане обавезе и услови даље сарадње и рад Научног клуба и формирање Научног парка у Смедереву, те је додат нови, шести модалитет сарадње: учествовање у јавном позиву за финансијску подршку пројектима промоције и популаризације науке који објављује Центар за промоцију науке, као и другим активностима које се финансирају посредством Центра за промоцију науке.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Регионалном центру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Смедерево</w:t>
      </w:r>
      <w:r>
        <w:rPr>
          <w:rFonts w:ascii="Times New Roman" w:hAnsi="Times New Roman" w:cs="Times New Roman"/>
          <w:sz w:val="24"/>
          <w:szCs w:val="24"/>
        </w:rPr>
        <w:t xml:space="preserve"> стратегија стручног усавршавања у региону примењује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и спроводи у складу са стратегијом коју је развио Центар за професионални развој Завода за унапређивање образовања и васпитања (ЗУОВ), а у сарадњи са другим битним чиниоцима у образовању. 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Примарни циљеви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задаци Регионалног центра за професионални развој запослених у образовању у Смедереву су: </w:t>
      </w:r>
    </w:p>
    <w:p>
      <w:pPr>
        <w:pStyle w:val="18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анализа потреба за стручним усавршавањем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запослених у образовању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анализа понуде програма стручног усавршавања;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планирање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реализација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обука и других видова стручног усавршавања;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помоћ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подршка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креирању програма стручног усавршавања;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евалуација квалитета стручног усавршавања и примене у пракси различитих облика стручног усавршавања;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популаризација науке кроз учешће у различитим домаћим и међународним пројектима или кроз осмишљавање разноврсних радионица, предавања, трибина на локалном подручју;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учешће у домаћим и међународним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програмима из области професионалног развоја запослених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 области промоције науке, научних истраживања и достигнућа.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остваривању примарних задатака и циљева Регионални центар за професионални развој запослених у образовању Смедерево остварује сарадњу са свим установама/институцијама у области образовања и васпитања које су од релевантног значаја на пољу стручног усавршавања запослених и популаризације науке –другим центрима за стручно усавршавање у Србији, Заводом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унапређивање образовања и васпитања (ЗУОВ), Заводом за вредновање квалитета образовања и васпитања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(ЗВКОВ)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Центром за промоцију науке. 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Такође, Центар остварује сталну сарадњу и са Министарством просвете, науке и технолошког развоја Републике Србије, Школском управом Пожаревац и другим школским управама, сарадњу са свим образовно-васпитним установама које остварују делатност на територији Града Смедерева (основне и средње школе, предшколска установа „Наша радост“), сарадњу са другим установама културе (Музеј у Смедереву, Историјски архив Смедерево, Народна библиотека Смедерево, Центар за културу Смедерево), сарадњу са организацијама/институцијама других делатности са територије Града Смедерева и сарадњу са локалном самоуправом.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Циљеве и задатке Регионални центар за професионални развој запослених у образовању Смедерево остварује и у оквиру Мреже регионалних центара и центара за стручно усавршавање Србије чији је члан. Мрежа РЦ и ЦСУ је удружење у којем се подстиче сарадња, размена искустава, примери добре праксе и информација о свим сегментима рада између 13 центара за стручно усавршавање у Србији, оформљених у складу са стратешким опредељењима и принципима децентрализације, једнакости и доступности стручног усавршавања.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>
      <w:pPr>
        <w:pStyle w:val="18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  <w:t xml:space="preserve">Активности у оквиру  програма рада  за 2024. годину </w:t>
      </w:r>
    </w:p>
    <w:p>
      <w:pPr>
        <w:pStyle w:val="1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 рада Регионалног центра за професионални развој запослених у образовању Смедерево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. годину, као и конкретне активности које из њих проистичу, утврђене су актом о оснивању установе и другим законским актима које прописују програмске активности у делатности стручног усавршавања и области промоције науке. План и програм рада установе условљени су циљевима и задацима у раду и, као и претходних година, и у наредној години наставиће се са њиховим усклађивањем са активностима на националном и регионалном нивоу, као и са конкретним потребама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предшколским, основношколским и средњошколским образовно-васпитним установама.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7"/>
        <w:rPr>
          <w:lang w:val="sr-Cyrl-RS"/>
        </w:rPr>
      </w:pPr>
      <w:r>
        <w:rPr>
          <w:lang w:val="sr-Cyrl-RS"/>
        </w:rPr>
        <w:t>ТАБЕЛА ИНДИКАТОРА ЗА   2024. год.- ЦИЉЕВИ-ФУНКЦИОНИСАЊЕ РЕГИОНАЛНОГ ЦЕНТРА ЗА ПРОФЕСИОНАЛНИ РАЗВОЈ ЗАПОСЛЕНИХ У ОБРАЗОВАЊУ (индикатори преузети из  Одлуке о   финансирању Града Смедерева за   2024. годину)</w:t>
      </w:r>
    </w:p>
    <w:p>
      <w:pPr>
        <w:pStyle w:val="17"/>
        <w:rPr>
          <w:lang w:val="sr-Cyrl-RS"/>
        </w:rPr>
      </w:pPr>
    </w:p>
    <w:tbl>
      <w:tblPr>
        <w:tblStyle w:val="13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196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ЦИЉЕВИ</w:t>
            </w:r>
          </w:p>
        </w:tc>
        <w:tc>
          <w:tcPr>
            <w:tcW w:w="2196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ИНДИКАТОРИ</w:t>
            </w:r>
          </w:p>
        </w:tc>
        <w:tc>
          <w:tcPr>
            <w:tcW w:w="1984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Базна вредност 2023. год.-из извештаја о раду</w:t>
            </w:r>
          </w:p>
        </w:tc>
        <w:tc>
          <w:tcPr>
            <w:tcW w:w="1985" w:type="dxa"/>
          </w:tcPr>
          <w:p>
            <w:pPr>
              <w:pStyle w:val="17"/>
              <w:spacing w:after="0" w:line="240" w:lineRule="auto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Циљана вредност за   2024.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семинара за стручно усавршавање</w:t>
            </w:r>
          </w:p>
        </w:tc>
        <w:tc>
          <w:tcPr>
            <w:tcW w:w="1984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</w:t>
            </w:r>
          </w:p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(458 жена и 57 мушкараца)</w:t>
            </w:r>
          </w:p>
        </w:tc>
        <w:tc>
          <w:tcPr>
            <w:tcW w:w="1985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70%жена и 30% мушкараца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различитих облика едукације</w:t>
            </w:r>
          </w:p>
        </w:tc>
        <w:tc>
          <w:tcPr>
            <w:tcW w:w="1984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156</w:t>
            </w:r>
          </w:p>
        </w:tc>
        <w:tc>
          <w:tcPr>
            <w:tcW w:w="1985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преноћишта</w:t>
            </w:r>
          </w:p>
        </w:tc>
        <w:tc>
          <w:tcPr>
            <w:tcW w:w="1984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778</w:t>
            </w:r>
          </w:p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464 мушкараца и 314 жена</w:t>
            </w:r>
          </w:p>
        </w:tc>
        <w:tc>
          <w:tcPr>
            <w:tcW w:w="1985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sr-Cyrl-RS"/>
              </w:rPr>
              <w:t>500</w:t>
            </w:r>
          </w:p>
          <w:p>
            <w:pPr>
              <w:pStyle w:val="17"/>
              <w:spacing w:after="0" w:line="240" w:lineRule="auto"/>
              <w:ind w:left="0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60% мушкараца и 40% жена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Функционисање РЦ</w:t>
            </w:r>
          </w:p>
        </w:tc>
        <w:tc>
          <w:tcPr>
            <w:tcW w:w="2196" w:type="dxa"/>
          </w:tcPr>
          <w:p>
            <w:pPr>
              <w:pStyle w:val="17"/>
              <w:spacing w:after="0" w:line="240" w:lineRule="auto"/>
              <w:ind w:left="0"/>
              <w:rPr>
                <w:lang w:val="sr-Cyrl-RS"/>
              </w:rPr>
            </w:pPr>
            <w:r>
              <w:rPr>
                <w:lang w:val="sr-Cyrl-RS"/>
              </w:rPr>
              <w:t>Број догађаја за Ноћ истраживача и других радионица и програма у оквиру Научног клуба</w:t>
            </w:r>
          </w:p>
        </w:tc>
        <w:tc>
          <w:tcPr>
            <w:tcW w:w="1984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34</w:t>
            </w:r>
          </w:p>
        </w:tc>
        <w:tc>
          <w:tcPr>
            <w:tcW w:w="1985" w:type="dxa"/>
          </w:tcPr>
          <w:p>
            <w:pPr>
              <w:pStyle w:val="17"/>
              <w:spacing w:after="0" w:line="240" w:lineRule="auto"/>
              <w:ind w:left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</w:tc>
      </w:tr>
    </w:tbl>
    <w:p>
      <w:pPr>
        <w:pStyle w:val="1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Од 2023. годину Центар  уводи индикаторе родне равноправности за програмске активности где имамо упис корисника (пријава на преноћиште, као и присуство семинарима који се организују преко Регионалног центра за професионални развој запослених у образовању)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.1. Организовање програма стручног усавршавања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наставника, васпитача и стручних сарадника, акредитованих за период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школске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школске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школске 2024/2025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</w:p>
    <w:p>
      <w:pPr>
        <w:pStyle w:val="18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Професионални развој наставника представља континуиран процес стицања, проширивања и продубљивања знања и вештина које су релевантне за подизање квалитета наставе. Стручнo усaвршaвaњe зaпoслeних у oбрaзoвaњу пoстao je нeизoстaвaн сeгмeнт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перманентног, </w:t>
      </w:r>
      <w:r>
        <w:rPr>
          <w:rFonts w:ascii="Times New Roman" w:hAnsi="Times New Roman" w:cs="Times New Roman"/>
          <w:sz w:val="24"/>
          <w:szCs w:val="24"/>
        </w:rPr>
        <w:t>цeлoживoтнoг  учeњa и унaпрeђeњa квaлитeтa рaдa нaстaвникa, васпитача, стручних сaрaдникa и дирeктoрa. O свoм стручнoм усaвршaвaњу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кoje пoдрaзумeвa кaкo интерне активности у школи, тaкo и </w:t>
      </w:r>
      <w:r>
        <w:rPr>
          <w:rFonts w:ascii="Times New Roman" w:hAnsi="Times New Roman" w:cs="Times New Roman"/>
          <w:sz w:val="24"/>
          <w:szCs w:val="24"/>
          <w:lang w:val="sr-Cyrl-RS"/>
        </w:rPr>
        <w:t>екстерне акредитоване обуке</w:t>
      </w:r>
      <w:r>
        <w:rPr>
          <w:rFonts w:ascii="Times New Roman" w:hAnsi="Times New Roman" w:cs="Times New Roman"/>
          <w:sz w:val="24"/>
          <w:szCs w:val="24"/>
        </w:rPr>
        <w:t xml:space="preserve">, мoрa вoдити рaчунa свaки прoсвeтни рaдник кojи жeли дa унaпрeђуje свoj рaд, учини гa квaлитeтниjим, крeaтивниjим и приjeмчијивим зa дaнaшњe учeникe. 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55. Закона о основама система образовања и васпитања („Сл. гласник РС“ бр. 88/2017 и 27/2018 – др. закони) прописује да центри за стручно усавршавање остварују делатност стручног усавршавања наставника, васпитача, стручних сарадника, директора и других учесника у остваривању образовања и васпитања у складу са законом, при чему остварују сарадњу са свим организацијама на републичком и локалном нивоу које су од значаја за стручно усавршавање.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2021. године  у „ Службеном гласнику РС“ бр.109 од 19. новембра 2021.  донет је и објављен  нов Правилник о сталном стручном усавршавању и напредовању у звање наставника, васпитача и стручих сарадника и чланом 10. наведеног правилника утврђено је да Завод расписује конкурс за одобравање програма обуке сваке треће године и одобрава их на период од три радне, односно школске године.  Конкурс је био отворен до 25. децембра 2021. године, а резултати конкурса  су објављени почетком јуна 2022. године. До тог периода могли су  се реализовати постојећи одобрени и акредитовани програми у текућој школској години, а сада   се спроводе  нови програми чија је акредитација одобрена за школску 2022/2023. годину и примењује се за наредне две школске године.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23. Новог Превилника дефинише да у оквиру пуног радног времена сваки запослени на пословима образовања има право и дужност да сваке школске године :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оствари најмање 44 сата стручног усавршавања које предузима установа из члана 6. Став 1. овог правилника- то је у самој установи (извођењем угледних часова, демонстрирањем поступака, метода и техника учење и других наставних, односно васпитних активности)</w:t>
      </w:r>
    </w:p>
    <w:p>
      <w:pPr>
        <w:pStyle w:val="1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Похађа најмање један програм стручног усавршавања који доноси министар или одорени програм из Каталога програма стручног усавршавања из члана 4. Став 1. Тачка 2) и 4) овог правилника, за које су организовани радним даном, у складу са Законом и посебним колективним уговором, има право на плаћено одсуство, а то су програми које управо реализују Центри за стручно усавршавање, тј. обавеза је да сваки запослени  обави бар једну обуку из Каталога годишње, односно бира најмање 5 обука у петогодишњем циклусу.</w:t>
      </w:r>
    </w:p>
    <w:p>
      <w:pPr>
        <w:pStyle w:val="18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сталног стручног усавршавања у Србији је у протеклих петнаест година превалио велики пут, на коме су РЦ и ЦСУ имале велики допринос, нарочито у сегменту освешћивања запослених у образовању и васпитању  у вези са потребом сталног стручног усавршавања.У тим годинама, док се та врста свести није развила, у недостатку неких учинковитијих пракси и искуства, бројеви бодова остварених на програмима стручног усавршавања одређивање законског  минимума броја сати су се показали као учинковити. Међутим, систем сталног стручног усавршавања није коначан, већ систем који се изнова унапређује, у складу са потребама и правцима које савремени образовни систем дефинише условило је и измене Правилника у правцу даљег сазревања запослених у образовању и њиховог осамостаљивања да облике стручног усавршавања и избор програма бирају у складу са својим потребама, али и потребама обрзовног система,  те је управо у томе активније ангажовање РЦ за професионални разовој запослених  у  обрзовању   Смедерево пресудно у реализацији  програма рада у наредном периоду.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Зато је програмска активност од приоритетне важности у делатности Регионалног центра за професионални развој запослених у образовању Смедерево организација акредитованих семинара који се налазе у Каталогу програма сталног стручног усавршавања наставника, васпитача и стручних сарадника Завода за унапређивање образовања и васпитања. 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Очекивани исходи ове програмске активности: наставни кадар са територије Града Смедерева и околних општина/градова оствариће потребне услове за своје стручно усавршавање и напредовање, а оствариће се и испуњење предвиђених законских обавеза везаних за тај процес, и то уз значајне уштеде за буџет локалне самоуправе.</w:t>
      </w:r>
    </w:p>
    <w:p>
      <w:pPr>
        <w:pStyle w:val="1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Приоритетне области новог циклуса за акредитацију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 основу идентификованих развојних тенденција, праваца и приоритета у процесу реформи система образовања и васпитања, насталих анализом различитих стратешко-реформских докумената, програма наставе и учење, резултата националних и међународних истраживања и извештаја са спољашњег вредновања образовно-васпитних установа у Србији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 којима постоје потребе за обуку наставника, васпитача и стручних сарадника су: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-примена инклузивног и демократског приступа у васпитању и образовању у циљу обезбеђицања квалитетног образовања за све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компетенција за процењивање остварености образовно-васпитног рада и постигнућа ученика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-методика рада са ученицима којом се подстиче развој функционалних знања, вештина и ставова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-унапређење стручних- предметно-методичких, педагошких и психолошких знања запослених у образовању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васпитне улоге установе у правцу развоја интеркултуралног образовања и формирање вредносних ставова неопходних за живот и рад у савременом друштву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-унапређивање дигиталних компетенција и употреба информационо-комуникационих технологија у реализацији образовно-васпитног процеса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компетенција за организацију и управљање радом установе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компетенција запослених у предшколској установи за примену програмске концепције „Године узлета“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-развијање културе заједнице учења у предшколској установи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Број планираних семинара током  2024. године: 30 семинара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Очекивано присуство (према пројекцијама из претходних година):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800 просветних радника, васпитача  и стручних сарадника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.2.Организовање и реализација различитих облика едукације за запослене у просвети и делатностима ван просвете (трибине, стручни скупови, обуке, округли столови, конференције, предавања, саветовања, радионице, презентације, симпозијуми, вебинари)</w:t>
      </w:r>
    </w:p>
    <w:p>
      <w:pPr>
        <w:pStyle w:val="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законске и подзаконске акте који и у делатностима ван просвете прописују стално стручно усавршавање запослених, а захваљујући одличним ресурсима који су на располагању корисницима ради организације различитих облика едукације (сале, рачунарска учионица, техничка опремљеност, бежични интернет и друго), и током 2024. године  Регионални центар биће логистичка подршка у организацији бројних догађаја значајних за стручно усавршавање и напредовање, промоцију пројеката и друге сличне активности.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Корисници услуга Центра су, сем просветних радника и струковних удружења наставника, и многобројне установе, удружења и организације са територије Смедерева, Подунавског округа, али и из других крајева Србије, која у оквиру својих активности имају и предвиђене обуке за стручно усавршавање.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Такође, корисници услуга Регионалног центра често су и реализатори међународних пројеката који се спроводе у партнерству са институцијама Републике Србије и који су подршка развоју локалних самоуправа.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Непосредним уговарањем или учешћем на захтеваним тендерским процедурама настојаћемо да употпунимо активности Центра за друге обуке које смо кадри да реализујемо полазећи од просторних, кадровских и техничких капацитета. Ту су већ стварени предуслови за реализацију обука које спроводи Национална академија за јавну управу, где смо прошли акредитацију као организатор обука у 2020. години, а 31.10.2022. године Решењем НАЈУ  утврђена је нова листа области стручног усавршавања, где је Регионални центар добио акредитацију спроводиоца области стручног усавршавања за одређене области за јавну управу.</w:t>
      </w:r>
    </w:p>
    <w:p>
      <w:pPr>
        <w:pStyle w:val="18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Стога је једна од програмских активности одржавање што већег броја додатних облика едукације и проширење делатности у области стручног усавршавања и ван области просвете. У остваривању ове програмске активности Регионални центар руководи се циљем да као установа буде незаобилазни фактор у Смедереву и региону када је реч о свим облицима едукације, афирмисања знања, популаризације резултата наставе, истраживања и науке, али и незаобилазан фактор када је реч о привредном и економском развоју грађана Смедерева и локалне самоуправе у целини.</w:t>
      </w:r>
    </w:p>
    <w:p>
      <w:pPr>
        <w:pStyle w:val="18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остваривању ове програмске активности стичу се јавни   приходи (изнајмљивање простора корисницима који нису део образовно-васпитног система), а који се преносе установи за покриће трошкова рада установе.</w:t>
      </w:r>
    </w:p>
    <w:p>
      <w:pPr>
        <w:pStyle w:val="18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Број планираних догађаја у вези са разноврсним облицима едукације запослених у свим делатностима током   2024. године: 120 догађаја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>
      <w:pPr>
        <w:pStyle w:val="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Подршка раду стручних друштава наставника</w:t>
      </w:r>
    </w:p>
    <w:p>
      <w:pPr>
        <w:pStyle w:val="18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територији Града Смедерева и Подунавског округа активно ради Друштво учитеља Смедерева, Друштво за српски језик и књижевност за Подунавски округ, </w:t>
      </w:r>
      <w:r>
        <w:rPr>
          <w:rStyle w:val="7"/>
          <w:rFonts w:ascii="Times New Roman" w:hAnsi="Times New Roman" w:cs="Times New Roman"/>
          <w:i w:val="0"/>
          <w:iCs w:val="0"/>
          <w:sz w:val="24"/>
          <w:szCs w:val="24"/>
        </w:rPr>
        <w:t>Подружница Подунавског округа</w:t>
      </w:r>
      <w:r>
        <w:rPr>
          <w:rFonts w:ascii="Times New Roman" w:hAnsi="Times New Roman" w:cs="Times New Roman"/>
          <w:sz w:val="24"/>
          <w:szCs w:val="24"/>
        </w:rPr>
        <w:t> Друштва физичара Србије,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Друштво математичара, </w:t>
      </w:r>
      <w:r>
        <w:rPr>
          <w:rFonts w:ascii="Times New Roman" w:hAnsi="Times New Roman" w:cs="Times New Roman"/>
          <w:sz w:val="24"/>
          <w:szCs w:val="24"/>
        </w:rPr>
        <w:t xml:space="preserve"> Друштво историчара Подунавског округа,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2019. год. основана је Подружница психолошко-педагошких сарадника, </w:t>
      </w:r>
      <w:r>
        <w:rPr>
          <w:rFonts w:ascii="Times New Roman" w:hAnsi="Times New Roman" w:cs="Times New Roman"/>
          <w:sz w:val="24"/>
          <w:szCs w:val="24"/>
        </w:rPr>
        <w:t xml:space="preserve"> али је ради успостављања боље сарадње и комуникације међу наставницима, размене искустава из наставне праксе, побољшања образовно-васпитног процеса и развијања љубави према науци код ученика од кључног значаја да се и наставници других наставних предмета уједине у остваривању заједничке мисије, задатака и циљева.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Регионални центар за професионални развој запослених у образовању планира да током 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године подстакне наставнике различитих наставних предмета/области на формирање стручних друштава и осмишљавање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разноврсних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. Планирано ће остварити</w:t>
      </w:r>
      <w:r>
        <w:rPr>
          <w:rFonts w:ascii="Times New Roman" w:hAnsi="Times New Roman" w:cs="Times New Roman"/>
          <w:sz w:val="24"/>
          <w:szCs w:val="24"/>
        </w:rPr>
        <w:t xml:space="preserve"> презентацијом позитивних искустава стручних друштава која активно остварују своју делатност и тиме популаризују годинама најбоље резултате наставе својих предмета. </w:t>
      </w: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4.4.Промоција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акредитованих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стручног усавршавања Регионалног центра</w:t>
      </w:r>
    </w:p>
    <w:p>
      <w:pPr>
        <w:pStyle w:val="18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Једна од основних програмских активности Регионалног центра за професионални развој запослених у образовању јесте давање подршке просветним радницима у акредитацији програма стручног усавршавања наставника, васпитача и стручних сарадника.</w:t>
      </w:r>
    </w:p>
    <w:p>
      <w:pPr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Циљ стручног усавршавања запослених у образовању је да наставни кадар у Смедереву, и у ширем окружењу, добије услове за свој стручни напредак, а уједно и испуни законске обавезе везане за тај процес.</w:t>
      </w:r>
    </w:p>
    <w:p>
      <w:pPr>
        <w:jc w:val="both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На основу Новог Правилника о сталном стручном усавршавању и напредовању у звање наставника, васпитача и стручних сарадника који је донет 19. новембра 2021. године, 22. новембра 2021. године расписан је конкурс Завода за унапређење образовања и васпитања  за одобравање програма сталног стручног усаршавања наставника, васпитача и стручних сарадника за школску 2022/2023, 2023/2024 и 2024/2025 годину и исти  је трајао до 25. децембра 2021. године. Преко Регионалног центра на конкурс је пријављено за програме аутора 15 програма, док је један програм наших сарадника акредитован  преко Мреже РЦ и ЦСУ. Објава одобрених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програма је у јуну месецу 2022. године и преко Регионалног центра одобрено је 10 програма, као и један програм преко Мреже РЦ и ЦСУ</w:t>
      </w:r>
      <w:r>
        <w:rPr>
          <w:lang w:val="sr-Cyrl-RS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bCs/>
        </w:rPr>
        <w:t>ЛИСТА</w:t>
      </w:r>
      <w:r>
        <w:rPr>
          <w:rFonts w:ascii="Times New Roman" w:hAnsi="Times New Roman"/>
          <w:b/>
          <w:bCs/>
          <w:lang w:val="sr-Cyrl-RS"/>
        </w:rPr>
        <w:t xml:space="preserve">   </w:t>
      </w:r>
    </w:p>
    <w:p>
      <w:pPr>
        <w:pStyle w:val="22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одобрених програма сталног стручног усавршавања наставника, васпитача и стручних сарадника за школску 2022/2023, 2023/2024 и 2024/2025. годину</w:t>
      </w:r>
    </w:p>
    <w:p>
      <w:pPr>
        <w:pStyle w:val="22"/>
        <w:rPr>
          <w:color w:val="auto"/>
          <w:sz w:val="22"/>
          <w:szCs w:val="22"/>
        </w:rPr>
      </w:pPr>
    </w:p>
    <w:tbl>
      <w:tblPr>
        <w:tblStyle w:val="5"/>
        <w:tblW w:w="96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4224"/>
        <w:gridCol w:w="241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Кат.бр.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НАЗИВ ПРОГРАМА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КОМПЕТЕНЦИЈА КОЈУ ПРОГРАМ РАЗВИЈА КОД ЦИЉНЕ ГРУПЕ, ПРИОРИТЕТНА ОБЛАСТ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34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ВРШЊАЧКИ МЕДИЈАТОР У ПРОЦЕСУ НЕНАСИЛНОГ РЕШАВАЊА СУКОБА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К3,К23,П5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sr-Cyrl-RS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>аспитни рад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130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ПРЕВЕНЦИЈА ВРШЊАЧКОГ НАСИЉА ФИЛМОМ И ФИЛМСКОМ АНИМАЦИЈОМ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</w:rPr>
              <w:t>К3, К23</w:t>
            </w:r>
            <w:r>
              <w:rPr>
                <w:rFonts w:ascii="Times New Roman" w:hAnsi="Times New Roman" w:eastAsia="Times New Roman"/>
                <w:lang w:val="sr-Cyrl-RS"/>
              </w:rPr>
              <w:t>,П5</w:t>
            </w:r>
          </w:p>
        </w:tc>
        <w:tc>
          <w:tcPr>
            <w:tcW w:w="201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Васпитни рад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297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ФИЛМ И ФИЛМСКА АНИМАЦИЈА КАО ИНОВАТИВНО ДИДАКТИЧКО СРЕДСТВО У КУРИКУЛУМУ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К2, П3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Друштвене науке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318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sr-Cyrl-RS"/>
              </w:rPr>
              <w:t>РЕВЕНЦИЈОМ ДО ЗДРАВИХ СТИЛОВА ЖИВОТА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К3, К5, К17, К23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 w:eastAsia="Times New Roman"/>
                <w:lang w:val="sr-Cyrl-RS"/>
              </w:rPr>
              <w:t xml:space="preserve"> П5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З</w:t>
            </w:r>
            <w:r>
              <w:rPr>
                <w:rFonts w:ascii="Times New Roman" w:hAnsi="Times New Roman"/>
              </w:rPr>
              <w:t>дравствено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sr-Cyrl-RS"/>
              </w:rPr>
              <w:t>ЕЂУПРЕДМЕТНЕ КОМПЕТЕНЦИЈЕ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sr-Cyrl-RS"/>
              </w:rPr>
              <w:t>РАЗВИЈАЊЕ ФУНКЦИОНАЛНИХ ЗНАЊА И ВЕШТИНА КРОЗ НАСТАВУ ПРИРОДНИХ НАУКА И МАТЕМАТИКЕ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К2</w:t>
            </w:r>
            <w:r>
              <w:rPr>
                <w:rFonts w:ascii="Times New Roman" w:hAnsi="Times New Roman"/>
                <w:lang w:val="sr-Cyrl-RS"/>
              </w:rPr>
              <w:t>, П3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</w:rPr>
              <w:t>пшта питања наставе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ОЦЕНА-ПУТОКАЗ КА НАПРЕТКУ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К2, К23</w:t>
            </w:r>
            <w:r>
              <w:rPr>
                <w:rFonts w:ascii="Times New Roman" w:hAnsi="Times New Roman"/>
                <w:lang w:val="sr-Cyrl-RS"/>
              </w:rPr>
              <w:t>,П2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</w:rPr>
              <w:t>пшта питања наставе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ОБОГАЋЕН ЈЕДНОСМЕНСКИ РАД И ЂАЧКА ЗАДРУГА-БУДУЋНОСТ НАШЕ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К3, К17, К23</w:t>
            </w:r>
            <w:r>
              <w:rPr>
                <w:rFonts w:ascii="Times New Roman" w:hAnsi="Times New Roman"/>
                <w:lang w:val="sr-Cyrl-RS"/>
              </w:rPr>
              <w:t>, П3</w:t>
            </w:r>
          </w:p>
        </w:tc>
        <w:tc>
          <w:tcPr>
            <w:tcW w:w="2013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Општа питања наставе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УПРАВЉАЊЕ ПРОЈЕКТИМА ИЗ ОБЛАСТИ ЗАШТИТЕ ЖИВОТНЕ СРЕДИНЕ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К2</w:t>
            </w:r>
            <w:r>
              <w:rPr>
                <w:rFonts w:ascii="Times New Roman" w:hAnsi="Times New Roman"/>
                <w:lang w:val="sr-Cyrl-RS"/>
              </w:rPr>
              <w:t>, П4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</w:rPr>
              <w:t>риродне науке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sr-Cyrl-RS"/>
              </w:rPr>
              <w:t>МИЉЕ И БОСИЉЕ- ПОДСТИЦАЈИ ЗА ИНТЕРДИСЦИПЛИНАРНЕ ЧАСОВЕ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К2</w:t>
            </w:r>
            <w:r>
              <w:rPr>
                <w:rFonts w:ascii="Times New Roman" w:hAnsi="Times New Roman"/>
                <w:lang w:val="sr-Cyrl-RS"/>
              </w:rPr>
              <w:t>, П3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Природне науке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lang w:val="sr-Cyrl-RS"/>
              </w:rPr>
              <w:t xml:space="preserve">ПОТРЕБА РАЧУНАРА У ИНЖЕЊЕРСКОМ ДИЗАЈНУ И ПРОВЕРИ </w:t>
            </w:r>
            <w:r>
              <w:rPr>
                <w:rFonts w:ascii="Times New Roman" w:hAnsi="Times New Roman"/>
              </w:rPr>
              <w:t xml:space="preserve">(CAD/CAE </w:t>
            </w:r>
            <w:r>
              <w:rPr>
                <w:rFonts w:ascii="Times New Roman" w:hAnsi="Times New Roman"/>
                <w:lang w:val="sr-Cyrl-RS"/>
              </w:rPr>
              <w:t>КОНЦЕПТ У ЕЛЕКТРОТЕХНИЦИ И МАШИНСТВУ)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К1</w:t>
            </w:r>
            <w:r>
              <w:rPr>
                <w:rFonts w:ascii="Times New Roman" w:hAnsi="Times New Roman"/>
                <w:lang w:val="sr-Cyrl-RS"/>
              </w:rPr>
              <w:t>, П4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r>
              <w:rPr>
                <w:rFonts w:ascii="Times New Roman" w:hAnsi="Times New Roman"/>
              </w:rPr>
              <w:t>тручни предмети у средњем стручном образовању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422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НАСТАВА МАТЕМАТИКЕ ОРИЈЕНТИСАНА НА ИСХОДЕ-У ПРАКСИ-преко Мреже РЦ иЦСУ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К2,П4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Математика</w:t>
            </w:r>
          </w:p>
        </w:tc>
      </w:tr>
    </w:tbl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2024. године Регионални центар ће наставити активности ради промоције својих акредитованих програма стручних усавршавања, првенствено у околним градовима, али и широм Србије, при чему ће остваривати сарадњу са другим центрима за стручно усавршавање и основним и средњим школама из свих крајева Србије, као и у сарадњи са Мрежом Регионалних центара и Центара за стручно усавршавање.</w:t>
      </w:r>
    </w:p>
    <w:p>
      <w:pPr>
        <w:pStyle w:val="18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Промоција и популаризација науке и научних достигнућа</w:t>
      </w:r>
    </w:p>
    <w:p>
      <w:pPr>
        <w:pStyle w:val="18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Научног клуба Смедерево током 2024. године наставиће се са промоцијом и популаризацијом науке, научних истраживања и научних достигнућа организовањем многобројних догађаја (презентације, радионице, трибине и друго).</w:t>
      </w:r>
    </w:p>
    <w:p>
      <w:pPr>
        <w:pStyle w:val="18"/>
        <w:ind w:left="-90" w:firstLine="79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је да се наука промовише код малишана, ученика основних и средњих школа, али и да се за науку заинтересује и шира популација грађана Смедерева.</w:t>
      </w:r>
    </w:p>
    <w:p>
      <w:pPr>
        <w:jc w:val="both"/>
        <w:rPr>
          <w:i/>
          <w:lang w:val="sr-Cyrl-RS"/>
        </w:rPr>
      </w:pPr>
      <w:r>
        <w:rPr>
          <w:b/>
          <w:i/>
          <w:lang w:val="sr-Cyrl-RS"/>
        </w:rPr>
        <w:t>Н</w:t>
      </w:r>
      <w:r>
        <w:rPr>
          <w:b/>
          <w:i/>
        </w:rPr>
        <w:t>аучн</w:t>
      </w:r>
      <w:r>
        <w:rPr>
          <w:b/>
          <w:i/>
          <w:lang w:val="sr-Cyrl-RS"/>
        </w:rPr>
        <w:t xml:space="preserve">и </w:t>
      </w:r>
      <w:r>
        <w:rPr>
          <w:b/>
          <w:i/>
        </w:rPr>
        <w:t xml:space="preserve">клуб Смедерево </w:t>
      </w:r>
      <w:r>
        <w:rPr>
          <w:b/>
          <w:i/>
          <w:lang w:val="sr-Cyrl-RS"/>
        </w:rPr>
        <w:t xml:space="preserve">учествовао је </w:t>
      </w:r>
      <w:r>
        <w:rPr>
          <w:b/>
          <w:i/>
        </w:rPr>
        <w:t xml:space="preserve"> </w:t>
      </w:r>
      <w:r>
        <w:rPr>
          <w:b/>
          <w:i/>
          <w:lang w:val="sr-Cyrl-RS"/>
        </w:rPr>
        <w:t xml:space="preserve">и на </w:t>
      </w:r>
      <w:r>
        <w:rPr>
          <w:b/>
          <w:i/>
        </w:rPr>
        <w:t xml:space="preserve">Јавном позиву </w:t>
      </w:r>
      <w:r>
        <w:rPr>
          <w:b/>
          <w:i/>
          <w:lang w:val="sr-Cyrl-RS"/>
        </w:rPr>
        <w:t xml:space="preserve">Центра за промоцију науке, Београд, </w:t>
      </w:r>
      <w:r>
        <w:rPr>
          <w:b/>
          <w:i/>
        </w:rPr>
        <w:t xml:space="preserve">за </w:t>
      </w:r>
      <w:r>
        <w:rPr>
          <w:b/>
          <w:i/>
          <w:lang w:val="sr-Cyrl-RS"/>
        </w:rPr>
        <w:t xml:space="preserve">доделу средстава за </w:t>
      </w:r>
      <w:r>
        <w:rPr>
          <w:b/>
          <w:i/>
        </w:rPr>
        <w:t xml:space="preserve">Годишњи програм </w:t>
      </w:r>
      <w:r>
        <w:rPr>
          <w:b/>
          <w:i/>
          <w:lang w:val="sr-Cyrl-RS"/>
        </w:rPr>
        <w:t>Научног клуба Смедерево</w:t>
      </w:r>
      <w:r>
        <w:rPr>
          <w:b/>
          <w:i/>
        </w:rPr>
        <w:t xml:space="preserve"> за 202</w:t>
      </w:r>
      <w:r>
        <w:rPr>
          <w:b/>
          <w:i/>
          <w:lang w:val="sr-Cyrl-RS"/>
        </w:rPr>
        <w:t>3/2024.</w:t>
      </w:r>
      <w:r>
        <w:rPr>
          <w:b/>
          <w:i/>
        </w:rPr>
        <w:t xml:space="preserve"> годину.</w:t>
      </w:r>
      <w:r>
        <w:rPr>
          <w:b/>
          <w:i/>
          <w:lang w:val="sr-Cyrl-RS"/>
        </w:rPr>
        <w:t xml:space="preserve"> </w:t>
      </w:r>
      <w:r>
        <w:rPr>
          <w:i/>
          <w:lang w:val="sr-Cyrl-RS"/>
        </w:rPr>
        <w:t>Годишњи п</w:t>
      </w:r>
      <w:r>
        <w:rPr>
          <w:i/>
        </w:rPr>
        <w:t xml:space="preserve">рограм </w:t>
      </w:r>
      <w:r>
        <w:rPr>
          <w:i/>
          <w:lang w:val="sr-Cyrl-RS"/>
        </w:rPr>
        <w:t xml:space="preserve">Научног клуба Смедерево </w:t>
      </w:r>
      <w:r>
        <w:rPr>
          <w:i/>
        </w:rPr>
        <w:t>за 202</w:t>
      </w:r>
      <w:r>
        <w:rPr>
          <w:i/>
          <w:lang w:val="sr-Cyrl-RS"/>
        </w:rPr>
        <w:t>3/2024.</w:t>
      </w:r>
      <w:r>
        <w:rPr>
          <w:i/>
        </w:rPr>
        <w:t xml:space="preserve"> годину</w:t>
      </w:r>
      <w:r>
        <w:rPr>
          <w:i/>
          <w:lang w:val="sr-Cyrl-RS"/>
        </w:rPr>
        <w:t xml:space="preserve"> о</w:t>
      </w:r>
      <w:r>
        <w:rPr>
          <w:i/>
        </w:rPr>
        <w:t xml:space="preserve">добрен </w:t>
      </w:r>
      <w:r>
        <w:rPr>
          <w:i/>
          <w:lang w:val="sr-Cyrl-RS"/>
        </w:rPr>
        <w:t xml:space="preserve">је </w:t>
      </w:r>
      <w:r>
        <w:rPr>
          <w:i/>
        </w:rPr>
        <w:t>од стране Центра за промоцију науке</w:t>
      </w:r>
      <w:r>
        <w:rPr>
          <w:i/>
          <w:lang w:val="sr-Cyrl-RS"/>
        </w:rPr>
        <w:t xml:space="preserve"> у износу од 220.000 динара. Листа Годишњег програма садржи 6</w:t>
      </w:r>
      <w:r>
        <w:rPr>
          <w:i/>
        </w:rPr>
        <w:t xml:space="preserve"> пројеката</w:t>
      </w:r>
      <w:r>
        <w:rPr>
          <w:i/>
          <w:lang w:val="sr-Cyrl-RS"/>
        </w:rPr>
        <w:t xml:space="preserve">, који се реализују  у периоду од </w:t>
      </w:r>
      <w:r>
        <w:rPr>
          <w:i/>
        </w:rPr>
        <w:t>01.09. 202</w:t>
      </w:r>
      <w:r>
        <w:rPr>
          <w:i/>
          <w:lang w:val="sr-Cyrl-RS"/>
        </w:rPr>
        <w:t>3</w:t>
      </w:r>
      <w:r>
        <w:rPr>
          <w:i/>
        </w:rPr>
        <w:t>. до 01. 09. 202</w:t>
      </w:r>
      <w:r>
        <w:rPr>
          <w:i/>
          <w:lang w:val="sr-Cyrl-RS"/>
        </w:rPr>
        <w:t>4</w:t>
      </w:r>
      <w:r>
        <w:rPr>
          <w:i/>
        </w:rPr>
        <w:t xml:space="preserve">. </w:t>
      </w:r>
      <w:r>
        <w:rPr>
          <w:i/>
          <w:lang w:val="sr-Cyrl-RS"/>
        </w:rPr>
        <w:t>г</w:t>
      </w:r>
      <w:r>
        <w:rPr>
          <w:i/>
        </w:rPr>
        <w:t>одине</w:t>
      </w:r>
      <w:r>
        <w:rPr>
          <w:i/>
          <w:lang w:val="sr-Cyrl-RS"/>
        </w:rPr>
        <w:t>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Сасвим природно- Марина Златановић и Јасмина Илић (4 активности)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Водич у прошлост Смедерева- Тијана Ђокић, Лидија Денковић и Наташа Голубовић (3 активности)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Средњовековно скривено благо-Марина Златановић, Емилија Ђорђевић, Исидора Ђорђевић и Јасмина Илић (3 активности)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Димитрије и Акиба Бен-Тијана Ђокић, Маријана Васиљевић и Наташа Голубовић (4 активности)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Магија светлости: Истраживање оптичких појава-Милена Живковић и Предраг Живковић (2 радионице)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„У корак с Нушићем“-време мерено смехотресом-Миљана Кравић и Ана Хранисављевић (3 радионице)</w:t>
      </w:r>
    </w:p>
    <w:p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308"/>
        <w:gridCol w:w="1413"/>
        <w:gridCol w:w="1364"/>
        <w:gridCol w:w="1421"/>
        <w:gridCol w:w="140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Р.бр.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Људски ресурси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Трошкови путовања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Трошкови за опрему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Трошкови за материјал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Остали трошкови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Збир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12.000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8.000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3.000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15.000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1.500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39.500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3.500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130.000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47.000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40.000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3.000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220.000</w:t>
            </w:r>
          </w:p>
        </w:tc>
      </w:tr>
    </w:tbl>
    <w:p>
      <w:pPr>
        <w:pStyle w:val="18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>
      <w:pPr>
        <w:pStyle w:val="18"/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Током 2023. године из Годишњег програма Научног клуба реализовани су пројекти 3-„Средњовековно скривено благо“ и 5-„Магија светлости“ и реализовано је 65.000,00 динара, тако да се 4  пројекта планира током 2024. године , за које је обезбеђњно 155.000,00 динара уплаћених од стране Центра за промоцију науке Београд.</w:t>
      </w:r>
    </w:p>
    <w:p>
      <w:pPr>
        <w:pStyle w:val="18"/>
        <w:ind w:left="-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за промоцију и популаризацију науке у 2024. години је отворен 20. фебруара и биће отворен до 20. марта, при чему је исти обавезан за годишњи програм за Научни клуб који се одобрава до 250.000 динара на предложени програм, а динамика усвајања финалног  годишњег програма за период септембар 2024.-септембар 2025. године је 24. април 2024. године. У истој динамици спроводи се и јавни позив за појединачне пројекте из категорије 1 Центра за промоцију науке где је могуће финансирање до 120.000 динара по Научном клубу, где се укључујемо у промоцију и припрему учесника за пројекте по јавном позиву.</w:t>
      </w:r>
    </w:p>
    <w:p>
      <w:pPr>
        <w:pStyle w:val="18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>
      <w:pPr>
        <w:pStyle w:val="18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Искоришћеност смештајних капацитета</w:t>
      </w:r>
    </w:p>
    <w:p>
      <w:pPr>
        <w:pStyle w:val="18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се Регионални центар за професионални развој запослених у образовању Смедерево финансира  из буџета Града Смедерева, а приходима Буџета доприноси и обављањем одређених делатности за остварење истих- наплатом у корист буџета прихода од продаје добара и услуга у корист нивоа градова, као једна од важних програмских активности намеће се што фреквентније коришћење смештајних капацитета.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Иако се на искоришћеност овог ресурса мало може утицати, јер установа није отвореног типа у тој делатности, покушај који је постојао и претходних година биће актуелан и током 2024. године – да се промоцијом рада установе привуче што већи број корисника који би у Регионалном центру организовали вишедневне облике едукације и да се тиме остваре што већи приходи.</w:t>
      </w:r>
    </w:p>
    <w:p>
      <w:pPr>
        <w:pStyle w:val="18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                                  </w:t>
      </w:r>
      <w:r>
        <w:rPr>
          <w:b/>
          <w:lang w:val="sr-Cyrl-RS"/>
        </w:rPr>
        <w:tab/>
      </w:r>
    </w:p>
    <w:p>
      <w:pPr>
        <w:pStyle w:val="1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 д.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>
      <w:pPr>
        <w:pStyle w:val="18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Животић-Живановић</w:t>
      </w:r>
    </w:p>
    <w:sectPr>
      <w:headerReference r:id="rId5" w:type="default"/>
      <w:footerReference r:id="rId6" w:type="default"/>
      <w:pgSz w:w="11906" w:h="16838"/>
      <w:pgMar w:top="1417" w:right="1417" w:bottom="13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8823390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thickThinSmallGap" w:color="622423" w:themeColor="accent2" w:themeShade="7F" w:sz="24" w:space="1"/>
      </w:pBdr>
      <w:jc w:val="center"/>
      <w:rPr>
        <w:rFonts w:asciiTheme="majorHAnsi" w:hAnsiTheme="majorHAnsi" w:eastAsiaTheme="majorEastAsia" w:cstheme="majorBidi"/>
        <w:sz w:val="18"/>
        <w:szCs w:val="18"/>
      </w:rPr>
    </w:pPr>
    <w:r>
      <w:rPr>
        <w:rFonts w:asciiTheme="majorHAnsi" w:hAnsiTheme="majorHAnsi" w:eastAsiaTheme="majorEastAsia" w:cstheme="majorBidi"/>
        <w:sz w:val="18"/>
        <w:szCs w:val="18"/>
        <w:lang w:val="sr-Cyrl-RS"/>
      </w:rPr>
      <w:t>Програм рада Регионалног центра за професионални развој запослених у образовању за 2024. годину</w:t>
    </w:r>
  </w:p>
  <w:p>
    <w:pPr>
      <w:pStyle w:val="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996BD0"/>
    <w:multiLevelType w:val="multilevel"/>
    <w:tmpl w:val="31996BD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94262"/>
    <w:multiLevelType w:val="multilevel"/>
    <w:tmpl w:val="5009426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4C64B66"/>
    <w:multiLevelType w:val="multilevel"/>
    <w:tmpl w:val="64C64B6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31"/>
    <w:rsid w:val="00006880"/>
    <w:rsid w:val="000078DB"/>
    <w:rsid w:val="00014876"/>
    <w:rsid w:val="00030DC4"/>
    <w:rsid w:val="000315E9"/>
    <w:rsid w:val="00042BC2"/>
    <w:rsid w:val="00045ADA"/>
    <w:rsid w:val="0005443A"/>
    <w:rsid w:val="00056DDC"/>
    <w:rsid w:val="00057D25"/>
    <w:rsid w:val="000600F1"/>
    <w:rsid w:val="00063213"/>
    <w:rsid w:val="0006483C"/>
    <w:rsid w:val="0006550B"/>
    <w:rsid w:val="0006792C"/>
    <w:rsid w:val="00074B4E"/>
    <w:rsid w:val="000779F9"/>
    <w:rsid w:val="000915DD"/>
    <w:rsid w:val="00094303"/>
    <w:rsid w:val="00096535"/>
    <w:rsid w:val="000A4440"/>
    <w:rsid w:val="000A7CBD"/>
    <w:rsid w:val="000B414C"/>
    <w:rsid w:val="000C4F71"/>
    <w:rsid w:val="000D088B"/>
    <w:rsid w:val="000F23D7"/>
    <w:rsid w:val="000F773C"/>
    <w:rsid w:val="0010384A"/>
    <w:rsid w:val="0010560E"/>
    <w:rsid w:val="0010749E"/>
    <w:rsid w:val="00107A9C"/>
    <w:rsid w:val="00112219"/>
    <w:rsid w:val="00113E28"/>
    <w:rsid w:val="00121815"/>
    <w:rsid w:val="0014325B"/>
    <w:rsid w:val="001468AE"/>
    <w:rsid w:val="00164D01"/>
    <w:rsid w:val="001653AA"/>
    <w:rsid w:val="00174360"/>
    <w:rsid w:val="00174D6D"/>
    <w:rsid w:val="00175CDF"/>
    <w:rsid w:val="001760E8"/>
    <w:rsid w:val="001810FD"/>
    <w:rsid w:val="00182D31"/>
    <w:rsid w:val="001858DA"/>
    <w:rsid w:val="00193BAB"/>
    <w:rsid w:val="00193E70"/>
    <w:rsid w:val="001A0C66"/>
    <w:rsid w:val="001B238B"/>
    <w:rsid w:val="001B3490"/>
    <w:rsid w:val="001C11F1"/>
    <w:rsid w:val="001D4F25"/>
    <w:rsid w:val="001D7E05"/>
    <w:rsid w:val="001F588C"/>
    <w:rsid w:val="001F6709"/>
    <w:rsid w:val="00204DA7"/>
    <w:rsid w:val="0021027E"/>
    <w:rsid w:val="00212332"/>
    <w:rsid w:val="00222FEB"/>
    <w:rsid w:val="002240BA"/>
    <w:rsid w:val="00232A16"/>
    <w:rsid w:val="00234862"/>
    <w:rsid w:val="0023519E"/>
    <w:rsid w:val="00246B97"/>
    <w:rsid w:val="002512E5"/>
    <w:rsid w:val="002541D9"/>
    <w:rsid w:val="0026438E"/>
    <w:rsid w:val="00265103"/>
    <w:rsid w:val="00265A27"/>
    <w:rsid w:val="00266A92"/>
    <w:rsid w:val="00272B34"/>
    <w:rsid w:val="00275C56"/>
    <w:rsid w:val="00284697"/>
    <w:rsid w:val="00284CB6"/>
    <w:rsid w:val="00296EB2"/>
    <w:rsid w:val="00297188"/>
    <w:rsid w:val="002B5AC8"/>
    <w:rsid w:val="002D52DD"/>
    <w:rsid w:val="002D5AB7"/>
    <w:rsid w:val="002E45F5"/>
    <w:rsid w:val="0030008B"/>
    <w:rsid w:val="0030212A"/>
    <w:rsid w:val="00305DDF"/>
    <w:rsid w:val="003114E6"/>
    <w:rsid w:val="003160BA"/>
    <w:rsid w:val="00324D0F"/>
    <w:rsid w:val="00325F70"/>
    <w:rsid w:val="003262E5"/>
    <w:rsid w:val="00331C8D"/>
    <w:rsid w:val="00351964"/>
    <w:rsid w:val="003557D8"/>
    <w:rsid w:val="003605A4"/>
    <w:rsid w:val="00367895"/>
    <w:rsid w:val="003739B1"/>
    <w:rsid w:val="00374571"/>
    <w:rsid w:val="003772FF"/>
    <w:rsid w:val="0039385B"/>
    <w:rsid w:val="00394E95"/>
    <w:rsid w:val="00395B47"/>
    <w:rsid w:val="003A1515"/>
    <w:rsid w:val="003B671E"/>
    <w:rsid w:val="003C1107"/>
    <w:rsid w:val="003C3745"/>
    <w:rsid w:val="003D1AED"/>
    <w:rsid w:val="003D3A2F"/>
    <w:rsid w:val="003E1462"/>
    <w:rsid w:val="003E500A"/>
    <w:rsid w:val="003F0A36"/>
    <w:rsid w:val="003F0F6B"/>
    <w:rsid w:val="00403279"/>
    <w:rsid w:val="00405247"/>
    <w:rsid w:val="00423F20"/>
    <w:rsid w:val="00432878"/>
    <w:rsid w:val="00433BF4"/>
    <w:rsid w:val="00444DF7"/>
    <w:rsid w:val="00446328"/>
    <w:rsid w:val="00457606"/>
    <w:rsid w:val="00463265"/>
    <w:rsid w:val="00463A1C"/>
    <w:rsid w:val="00465666"/>
    <w:rsid w:val="00471182"/>
    <w:rsid w:val="0047215A"/>
    <w:rsid w:val="00473107"/>
    <w:rsid w:val="00476256"/>
    <w:rsid w:val="00476DDD"/>
    <w:rsid w:val="00477313"/>
    <w:rsid w:val="00484D56"/>
    <w:rsid w:val="00493044"/>
    <w:rsid w:val="004943F7"/>
    <w:rsid w:val="004A0136"/>
    <w:rsid w:val="004A0AA1"/>
    <w:rsid w:val="004A1BE5"/>
    <w:rsid w:val="004A2D82"/>
    <w:rsid w:val="004B13DC"/>
    <w:rsid w:val="004B70C3"/>
    <w:rsid w:val="004B7AE0"/>
    <w:rsid w:val="004C5E6A"/>
    <w:rsid w:val="004D2844"/>
    <w:rsid w:val="004D3581"/>
    <w:rsid w:val="004D4BFE"/>
    <w:rsid w:val="004E2067"/>
    <w:rsid w:val="004E4615"/>
    <w:rsid w:val="004E4802"/>
    <w:rsid w:val="004E529B"/>
    <w:rsid w:val="004E63D2"/>
    <w:rsid w:val="004E6B8B"/>
    <w:rsid w:val="004F071D"/>
    <w:rsid w:val="004F3C2A"/>
    <w:rsid w:val="004F4076"/>
    <w:rsid w:val="004F707F"/>
    <w:rsid w:val="004F7FED"/>
    <w:rsid w:val="00511EF4"/>
    <w:rsid w:val="0051268F"/>
    <w:rsid w:val="0051317D"/>
    <w:rsid w:val="0051507F"/>
    <w:rsid w:val="00517E1E"/>
    <w:rsid w:val="00522D65"/>
    <w:rsid w:val="00530285"/>
    <w:rsid w:val="0054671B"/>
    <w:rsid w:val="005513CF"/>
    <w:rsid w:val="00555EB9"/>
    <w:rsid w:val="00562DA9"/>
    <w:rsid w:val="005954C9"/>
    <w:rsid w:val="005A2186"/>
    <w:rsid w:val="005A290E"/>
    <w:rsid w:val="005A3A50"/>
    <w:rsid w:val="005A662C"/>
    <w:rsid w:val="005A7295"/>
    <w:rsid w:val="005B2AA8"/>
    <w:rsid w:val="005C699F"/>
    <w:rsid w:val="005D48A0"/>
    <w:rsid w:val="005D712B"/>
    <w:rsid w:val="005D7A41"/>
    <w:rsid w:val="005E4E8D"/>
    <w:rsid w:val="005F05CC"/>
    <w:rsid w:val="00607673"/>
    <w:rsid w:val="00610F2B"/>
    <w:rsid w:val="0061783C"/>
    <w:rsid w:val="00620395"/>
    <w:rsid w:val="00623D5A"/>
    <w:rsid w:val="00624F56"/>
    <w:rsid w:val="00626C6F"/>
    <w:rsid w:val="006276CF"/>
    <w:rsid w:val="00632098"/>
    <w:rsid w:val="00632AB0"/>
    <w:rsid w:val="006412C8"/>
    <w:rsid w:val="00643A4F"/>
    <w:rsid w:val="00646986"/>
    <w:rsid w:val="006472B7"/>
    <w:rsid w:val="00647415"/>
    <w:rsid w:val="006507B8"/>
    <w:rsid w:val="0065101D"/>
    <w:rsid w:val="00653686"/>
    <w:rsid w:val="00687011"/>
    <w:rsid w:val="00690A29"/>
    <w:rsid w:val="00691E00"/>
    <w:rsid w:val="00697CBF"/>
    <w:rsid w:val="006A6482"/>
    <w:rsid w:val="006C187F"/>
    <w:rsid w:val="006C7F3E"/>
    <w:rsid w:val="006D50F2"/>
    <w:rsid w:val="006D77B0"/>
    <w:rsid w:val="006E1738"/>
    <w:rsid w:val="006E71C6"/>
    <w:rsid w:val="00721188"/>
    <w:rsid w:val="00722DBC"/>
    <w:rsid w:val="007244F8"/>
    <w:rsid w:val="0073240F"/>
    <w:rsid w:val="007370E9"/>
    <w:rsid w:val="00740719"/>
    <w:rsid w:val="0074284F"/>
    <w:rsid w:val="0074488A"/>
    <w:rsid w:val="00745031"/>
    <w:rsid w:val="00745806"/>
    <w:rsid w:val="00753F7A"/>
    <w:rsid w:val="007634E3"/>
    <w:rsid w:val="00770403"/>
    <w:rsid w:val="00780E34"/>
    <w:rsid w:val="007918F0"/>
    <w:rsid w:val="0079564F"/>
    <w:rsid w:val="007A015B"/>
    <w:rsid w:val="007A01FC"/>
    <w:rsid w:val="007A0315"/>
    <w:rsid w:val="007A2009"/>
    <w:rsid w:val="007A5D7A"/>
    <w:rsid w:val="007B69CB"/>
    <w:rsid w:val="007D3F9A"/>
    <w:rsid w:val="007D5592"/>
    <w:rsid w:val="007D5817"/>
    <w:rsid w:val="007D6D29"/>
    <w:rsid w:val="007D7A75"/>
    <w:rsid w:val="007E0B12"/>
    <w:rsid w:val="007E1F63"/>
    <w:rsid w:val="007E26F5"/>
    <w:rsid w:val="007F08AE"/>
    <w:rsid w:val="007F24D6"/>
    <w:rsid w:val="007F49D9"/>
    <w:rsid w:val="007F5F18"/>
    <w:rsid w:val="008061DD"/>
    <w:rsid w:val="00810101"/>
    <w:rsid w:val="00816493"/>
    <w:rsid w:val="00830131"/>
    <w:rsid w:val="00831D94"/>
    <w:rsid w:val="0083760F"/>
    <w:rsid w:val="00843A61"/>
    <w:rsid w:val="00851E3B"/>
    <w:rsid w:val="00852306"/>
    <w:rsid w:val="0085292F"/>
    <w:rsid w:val="00856D86"/>
    <w:rsid w:val="00857BCC"/>
    <w:rsid w:val="00863B44"/>
    <w:rsid w:val="00880A5F"/>
    <w:rsid w:val="00894C85"/>
    <w:rsid w:val="008B0091"/>
    <w:rsid w:val="008B67E8"/>
    <w:rsid w:val="008B7EDF"/>
    <w:rsid w:val="008D0F41"/>
    <w:rsid w:val="008D3D6F"/>
    <w:rsid w:val="008D59DE"/>
    <w:rsid w:val="008D637F"/>
    <w:rsid w:val="008D6E46"/>
    <w:rsid w:val="008E094E"/>
    <w:rsid w:val="008E61DF"/>
    <w:rsid w:val="008F2B8E"/>
    <w:rsid w:val="008F6F88"/>
    <w:rsid w:val="008F79D6"/>
    <w:rsid w:val="009016A3"/>
    <w:rsid w:val="0090581D"/>
    <w:rsid w:val="00905C5C"/>
    <w:rsid w:val="00912D3F"/>
    <w:rsid w:val="0091583A"/>
    <w:rsid w:val="00920F3E"/>
    <w:rsid w:val="0092313F"/>
    <w:rsid w:val="00925736"/>
    <w:rsid w:val="0092684B"/>
    <w:rsid w:val="00936E09"/>
    <w:rsid w:val="00940A3D"/>
    <w:rsid w:val="009474A2"/>
    <w:rsid w:val="00955EBD"/>
    <w:rsid w:val="0095625F"/>
    <w:rsid w:val="009576E7"/>
    <w:rsid w:val="00957D18"/>
    <w:rsid w:val="00973461"/>
    <w:rsid w:val="009809E0"/>
    <w:rsid w:val="00994B69"/>
    <w:rsid w:val="009A5107"/>
    <w:rsid w:val="009B537F"/>
    <w:rsid w:val="009B5D73"/>
    <w:rsid w:val="009B7D00"/>
    <w:rsid w:val="009C0101"/>
    <w:rsid w:val="009C2E3E"/>
    <w:rsid w:val="009F1ADB"/>
    <w:rsid w:val="009F514C"/>
    <w:rsid w:val="00A04446"/>
    <w:rsid w:val="00A07D1E"/>
    <w:rsid w:val="00A16497"/>
    <w:rsid w:val="00A310F0"/>
    <w:rsid w:val="00A33330"/>
    <w:rsid w:val="00A45266"/>
    <w:rsid w:val="00A52F4C"/>
    <w:rsid w:val="00A53121"/>
    <w:rsid w:val="00A5556E"/>
    <w:rsid w:val="00A62EF4"/>
    <w:rsid w:val="00A6602B"/>
    <w:rsid w:val="00A758F9"/>
    <w:rsid w:val="00A80A74"/>
    <w:rsid w:val="00A9047A"/>
    <w:rsid w:val="00A90872"/>
    <w:rsid w:val="00A90AD1"/>
    <w:rsid w:val="00A91587"/>
    <w:rsid w:val="00AB113A"/>
    <w:rsid w:val="00AC1065"/>
    <w:rsid w:val="00AD5FCF"/>
    <w:rsid w:val="00AE3AB4"/>
    <w:rsid w:val="00AE438C"/>
    <w:rsid w:val="00AF0A2C"/>
    <w:rsid w:val="00B07EF9"/>
    <w:rsid w:val="00B16F1B"/>
    <w:rsid w:val="00B17160"/>
    <w:rsid w:val="00B218B7"/>
    <w:rsid w:val="00B236AD"/>
    <w:rsid w:val="00B42E1E"/>
    <w:rsid w:val="00B43B98"/>
    <w:rsid w:val="00B467ED"/>
    <w:rsid w:val="00B46907"/>
    <w:rsid w:val="00B509CD"/>
    <w:rsid w:val="00B54D9E"/>
    <w:rsid w:val="00B610AC"/>
    <w:rsid w:val="00B6509F"/>
    <w:rsid w:val="00B73705"/>
    <w:rsid w:val="00B74B12"/>
    <w:rsid w:val="00B839A7"/>
    <w:rsid w:val="00B8708B"/>
    <w:rsid w:val="00B921DD"/>
    <w:rsid w:val="00B93E63"/>
    <w:rsid w:val="00BB0E2B"/>
    <w:rsid w:val="00BB278D"/>
    <w:rsid w:val="00BB3712"/>
    <w:rsid w:val="00BD3E95"/>
    <w:rsid w:val="00BD4362"/>
    <w:rsid w:val="00BD6459"/>
    <w:rsid w:val="00BE042F"/>
    <w:rsid w:val="00BE1F9E"/>
    <w:rsid w:val="00BE2282"/>
    <w:rsid w:val="00BE5E93"/>
    <w:rsid w:val="00BE62D1"/>
    <w:rsid w:val="00BF0B88"/>
    <w:rsid w:val="00BF6B4D"/>
    <w:rsid w:val="00C119DF"/>
    <w:rsid w:val="00C13166"/>
    <w:rsid w:val="00C1328C"/>
    <w:rsid w:val="00C1591F"/>
    <w:rsid w:val="00C22722"/>
    <w:rsid w:val="00C34AB0"/>
    <w:rsid w:val="00C524F0"/>
    <w:rsid w:val="00C539DC"/>
    <w:rsid w:val="00C5585D"/>
    <w:rsid w:val="00C5605D"/>
    <w:rsid w:val="00C56BCA"/>
    <w:rsid w:val="00C575D4"/>
    <w:rsid w:val="00C61DF2"/>
    <w:rsid w:val="00C73D24"/>
    <w:rsid w:val="00C758C2"/>
    <w:rsid w:val="00C76744"/>
    <w:rsid w:val="00C80463"/>
    <w:rsid w:val="00C830BD"/>
    <w:rsid w:val="00C83BD3"/>
    <w:rsid w:val="00CA40B4"/>
    <w:rsid w:val="00CA5CA1"/>
    <w:rsid w:val="00CA7EF1"/>
    <w:rsid w:val="00CB214C"/>
    <w:rsid w:val="00CB4003"/>
    <w:rsid w:val="00CC3B45"/>
    <w:rsid w:val="00CC3BA1"/>
    <w:rsid w:val="00CC7AC2"/>
    <w:rsid w:val="00CE20F3"/>
    <w:rsid w:val="00CE2AAE"/>
    <w:rsid w:val="00CE4A92"/>
    <w:rsid w:val="00CE7628"/>
    <w:rsid w:val="00D0624B"/>
    <w:rsid w:val="00D07DAB"/>
    <w:rsid w:val="00D148A3"/>
    <w:rsid w:val="00D210C6"/>
    <w:rsid w:val="00D22049"/>
    <w:rsid w:val="00D30A10"/>
    <w:rsid w:val="00D42B6E"/>
    <w:rsid w:val="00D43CF3"/>
    <w:rsid w:val="00D44AB7"/>
    <w:rsid w:val="00D471AC"/>
    <w:rsid w:val="00D4732E"/>
    <w:rsid w:val="00D5508F"/>
    <w:rsid w:val="00D56FE9"/>
    <w:rsid w:val="00D6778A"/>
    <w:rsid w:val="00D76619"/>
    <w:rsid w:val="00D83681"/>
    <w:rsid w:val="00D96684"/>
    <w:rsid w:val="00DA48A7"/>
    <w:rsid w:val="00DB63E0"/>
    <w:rsid w:val="00DC348A"/>
    <w:rsid w:val="00DC56C7"/>
    <w:rsid w:val="00DC589C"/>
    <w:rsid w:val="00DC62DE"/>
    <w:rsid w:val="00DD45FF"/>
    <w:rsid w:val="00DF66E8"/>
    <w:rsid w:val="00E02D04"/>
    <w:rsid w:val="00E100FA"/>
    <w:rsid w:val="00E1294A"/>
    <w:rsid w:val="00E1495C"/>
    <w:rsid w:val="00E1646A"/>
    <w:rsid w:val="00E16570"/>
    <w:rsid w:val="00E26064"/>
    <w:rsid w:val="00E31A88"/>
    <w:rsid w:val="00E35E71"/>
    <w:rsid w:val="00E46E3E"/>
    <w:rsid w:val="00E47D8C"/>
    <w:rsid w:val="00E60E30"/>
    <w:rsid w:val="00E70751"/>
    <w:rsid w:val="00E72C89"/>
    <w:rsid w:val="00E8380A"/>
    <w:rsid w:val="00E872AE"/>
    <w:rsid w:val="00E87F0C"/>
    <w:rsid w:val="00E91E55"/>
    <w:rsid w:val="00EA7E1A"/>
    <w:rsid w:val="00EB7DF9"/>
    <w:rsid w:val="00EC78E7"/>
    <w:rsid w:val="00ED3C2C"/>
    <w:rsid w:val="00ED69C8"/>
    <w:rsid w:val="00ED7BA8"/>
    <w:rsid w:val="00EE1789"/>
    <w:rsid w:val="00EE2348"/>
    <w:rsid w:val="00EF07BA"/>
    <w:rsid w:val="00EF25D9"/>
    <w:rsid w:val="00EF31A8"/>
    <w:rsid w:val="00EF3456"/>
    <w:rsid w:val="00EF6954"/>
    <w:rsid w:val="00F02343"/>
    <w:rsid w:val="00F0339D"/>
    <w:rsid w:val="00F3042C"/>
    <w:rsid w:val="00F30A2C"/>
    <w:rsid w:val="00F420E5"/>
    <w:rsid w:val="00F42D40"/>
    <w:rsid w:val="00F44486"/>
    <w:rsid w:val="00F45A7C"/>
    <w:rsid w:val="00F52120"/>
    <w:rsid w:val="00F54EA2"/>
    <w:rsid w:val="00F551E7"/>
    <w:rsid w:val="00F56CB8"/>
    <w:rsid w:val="00F57FEB"/>
    <w:rsid w:val="00F61BB5"/>
    <w:rsid w:val="00F63953"/>
    <w:rsid w:val="00F6733D"/>
    <w:rsid w:val="00F75CE0"/>
    <w:rsid w:val="00F82401"/>
    <w:rsid w:val="00F83A5D"/>
    <w:rsid w:val="00F93D25"/>
    <w:rsid w:val="00F95371"/>
    <w:rsid w:val="00F97D76"/>
    <w:rsid w:val="00FA67DD"/>
    <w:rsid w:val="00FB02F8"/>
    <w:rsid w:val="00FB23AC"/>
    <w:rsid w:val="00FB519D"/>
    <w:rsid w:val="00FC1138"/>
    <w:rsid w:val="00FD6FEB"/>
    <w:rsid w:val="00FE7EB1"/>
    <w:rsid w:val="218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paragraph" w:styleId="2">
    <w:name w:val="heading 2"/>
    <w:basedOn w:val="1"/>
    <w:link w:val="1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paragraph" w:styleId="3">
    <w:name w:val="heading 3"/>
    <w:basedOn w:val="1"/>
    <w:link w:val="2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4"/>
    <w:semiHidden/>
    <w:unhideWhenUsed/>
    <w:uiPriority w:val="99"/>
    <w:rPr>
      <w:color w:val="0000FF"/>
      <w:u w:val="single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12">
    <w:name w:val="Strong"/>
    <w:basedOn w:val="4"/>
    <w:qFormat/>
    <w:uiPriority w:val="22"/>
    <w:rPr>
      <w:b/>
      <w:bCs/>
    </w:rPr>
  </w:style>
  <w:style w:type="table" w:styleId="13">
    <w:name w:val="Table Grid"/>
    <w:basedOn w:val="5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er Char"/>
    <w:basedOn w:val="4"/>
    <w:link w:val="9"/>
    <w:uiPriority w:val="99"/>
  </w:style>
  <w:style w:type="character" w:customStyle="1" w:styleId="15">
    <w:name w:val="Footer Char"/>
    <w:basedOn w:val="4"/>
    <w:link w:val="8"/>
    <w:uiPriority w:val="99"/>
  </w:style>
  <w:style w:type="character" w:customStyle="1" w:styleId="16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customStyle="1" w:styleId="19">
    <w:name w:val="Heading 2 Char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character" w:customStyle="1" w:styleId="20">
    <w:name w:val="Heading 3 Char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val="en-US"/>
    </w:rPr>
  </w:style>
  <w:style w:type="character" w:customStyle="1" w:styleId="21">
    <w:name w:val="apple-tab-span"/>
    <w:basedOn w:val="4"/>
    <w:uiPriority w:val="0"/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23">
    <w:name w:val="fontstyle01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24">
    <w:name w:val="fontstyle21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3FA2-CB7D-4D05-B872-AF7B98E6C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4631</Words>
  <Characters>26400</Characters>
  <Lines>220</Lines>
  <Paragraphs>61</Paragraphs>
  <TotalTime>130</TotalTime>
  <ScaleCrop>false</ScaleCrop>
  <LinksUpToDate>false</LinksUpToDate>
  <CharactersWithSpaces>30970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2024-02-20T09:23:00Z</dcterms:created>
  <dc:creator>csusmed@orion.rs</dc:creator>
  <cp:lastModifiedBy>Natasa Maksovic</cp:lastModifiedBy>
  <cp:lastPrinted>2024-02-27T08:51:00Z</cp:lastPrinted>
  <dcterms:modified xsi:type="dcterms:W3CDTF">2024-03-27T12:44:43Z</dcterms:modified>
  <dc:title>Програм рада Регионалног центра за професионални развој запослених у образовању за 2023. годину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768F1A22B325452E8F612228D6F90D17_13</vt:lpwstr>
  </property>
</Properties>
</file>